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3B" w:rsidRPr="00AB2499" w:rsidRDefault="0023213B" w:rsidP="0023213B">
      <w:pPr>
        <w:pStyle w:val="berschrift4"/>
        <w:rPr>
          <w:rFonts w:ascii="Arial" w:hAnsi="Arial" w:cs="Arial"/>
          <w:b/>
          <w:color w:val="auto"/>
          <w:u w:val="single"/>
        </w:rPr>
      </w:pPr>
      <w:r w:rsidRPr="00AB2499">
        <w:rPr>
          <w:rFonts w:ascii="Arial" w:hAnsi="Arial" w:cs="Arial"/>
          <w:b/>
          <w:color w:val="auto"/>
          <w:u w:val="single"/>
        </w:rPr>
        <w:t>Geltungsbereich</w:t>
      </w:r>
    </w:p>
    <w:p w:rsidR="0023213B" w:rsidRPr="00AB2499" w:rsidRDefault="0023213B" w:rsidP="0023213B">
      <w:pPr>
        <w:pStyle w:val="StandardWeb"/>
        <w:rPr>
          <w:rFonts w:ascii="Arial" w:hAnsi="Arial" w:cs="Arial"/>
          <w:sz w:val="22"/>
          <w:szCs w:val="22"/>
        </w:rPr>
      </w:pPr>
      <w:r w:rsidRPr="00AB2499">
        <w:rPr>
          <w:rFonts w:ascii="Arial" w:hAnsi="Arial" w:cs="Arial"/>
          <w:sz w:val="22"/>
          <w:szCs w:val="22"/>
        </w:rPr>
        <w:t>Die Ausnahmegenehmigung wird im Rahmen einer vereinbarten Duldung in</w:t>
      </w:r>
    </w:p>
    <w:p w:rsidR="0023213B" w:rsidRPr="00AB2499" w:rsidRDefault="0023213B" w:rsidP="0023213B">
      <w:pPr>
        <w:numPr>
          <w:ilvl w:val="0"/>
          <w:numId w:val="5"/>
        </w:numPr>
        <w:spacing w:before="100" w:beforeAutospacing="1" w:after="100" w:afterAutospacing="1" w:line="240" w:lineRule="auto"/>
        <w:rPr>
          <w:rFonts w:ascii="Arial" w:hAnsi="Arial" w:cs="Arial"/>
        </w:rPr>
      </w:pPr>
      <w:r w:rsidRPr="00AB2499">
        <w:rPr>
          <w:rFonts w:ascii="Arial" w:hAnsi="Arial" w:cs="Arial"/>
        </w:rPr>
        <w:t>Frankfurt am Main, Bad Homburg v.d.H., Darmstadt, Hanau, Offenbach am Main, Rüsselsheim, Mainz, Wiesbaden</w:t>
      </w:r>
    </w:p>
    <w:p w:rsidR="0023213B" w:rsidRPr="00AB2499" w:rsidRDefault="0023213B" w:rsidP="0023213B">
      <w:pPr>
        <w:numPr>
          <w:ilvl w:val="0"/>
          <w:numId w:val="5"/>
        </w:numPr>
        <w:spacing w:before="100" w:beforeAutospacing="1" w:after="100" w:afterAutospacing="1" w:line="240" w:lineRule="auto"/>
        <w:rPr>
          <w:rFonts w:ascii="Arial" w:hAnsi="Arial" w:cs="Arial"/>
        </w:rPr>
      </w:pPr>
      <w:r w:rsidRPr="00AB2499">
        <w:rPr>
          <w:rFonts w:ascii="Arial" w:hAnsi="Arial" w:cs="Arial"/>
        </w:rPr>
        <w:t>und den Städten und Gemeinden im Landkreis Darmstadt-Dieburg, im Kreis Offenbach, Kreis Groß-Gerau, Wetteraukreis, Hochtaunuskreis, Main-Taunus-Kreis, Main-Kinzig-Kreis, Kreis Bergstraße, im Rheingau-Taunus-Kreis und im Odenwaldkreis anerkannt.</w:t>
      </w:r>
    </w:p>
    <w:p w:rsidR="0023213B" w:rsidRPr="00AB2499" w:rsidRDefault="0023213B" w:rsidP="0023213B">
      <w:pPr>
        <w:numPr>
          <w:ilvl w:val="0"/>
          <w:numId w:val="5"/>
        </w:numPr>
        <w:spacing w:before="100" w:beforeAutospacing="1" w:after="100" w:afterAutospacing="1" w:line="240" w:lineRule="auto"/>
        <w:rPr>
          <w:rFonts w:ascii="Arial" w:hAnsi="Arial" w:cs="Arial"/>
        </w:rPr>
      </w:pPr>
      <w:r w:rsidRPr="00AB2499">
        <w:rPr>
          <w:rFonts w:ascii="Arial" w:hAnsi="Arial" w:cs="Arial"/>
        </w:rPr>
        <w:t>Ab dem 01. September 2021 gilt der regionale Handwerkerparkausweis auch in den Städten und Gemeinden im Landkreis Fulda, im Vogelsbergkreis, im Landkreis Alzey-Worms und im Landkreis Mainz- Bingen (</w:t>
      </w:r>
      <w:r w:rsidRPr="00AB2499">
        <w:rPr>
          <w:rFonts w:ascii="Arial" w:hAnsi="Arial" w:cs="Arial"/>
          <w:u w:val="single"/>
        </w:rPr>
        <w:t>ohne</w:t>
      </w:r>
      <w:r w:rsidRPr="00AB2499">
        <w:rPr>
          <w:rFonts w:ascii="Arial" w:hAnsi="Arial" w:cs="Arial"/>
        </w:rPr>
        <w:t xml:space="preserve"> die Stadt Bingen). Die Stadt Bingen nimmt nicht am regionalen Handwerkerparkausweis teil.</w:t>
      </w:r>
    </w:p>
    <w:p w:rsidR="00803539" w:rsidRPr="00AB2499" w:rsidRDefault="00803539" w:rsidP="00803539">
      <w:pPr>
        <w:pStyle w:val="berschrift4"/>
        <w:rPr>
          <w:rFonts w:ascii="Arial" w:hAnsi="Arial" w:cs="Arial"/>
          <w:b/>
          <w:color w:val="auto"/>
          <w:u w:val="single"/>
        </w:rPr>
      </w:pPr>
      <w:r w:rsidRPr="00AB2499">
        <w:rPr>
          <w:rStyle w:val="Hervorhebung"/>
          <w:rFonts w:ascii="Arial" w:hAnsi="Arial" w:cs="Arial"/>
          <w:b/>
          <w:color w:val="auto"/>
          <w:u w:val="single"/>
        </w:rPr>
        <w:t>Berechtigungsumfang</w:t>
      </w:r>
    </w:p>
    <w:p w:rsidR="00803539" w:rsidRPr="00AB2499" w:rsidRDefault="00803539" w:rsidP="00803539">
      <w:pPr>
        <w:pStyle w:val="StandardWeb"/>
        <w:rPr>
          <w:rFonts w:ascii="Arial" w:hAnsi="Arial" w:cs="Arial"/>
          <w:sz w:val="22"/>
          <w:szCs w:val="22"/>
        </w:rPr>
      </w:pPr>
      <w:r w:rsidRPr="00AB2499">
        <w:rPr>
          <w:rFonts w:ascii="Arial" w:hAnsi="Arial" w:cs="Arial"/>
          <w:sz w:val="22"/>
          <w:szCs w:val="22"/>
        </w:rPr>
        <w:t>Die Genehmigung berechtigt zum Parken:</w:t>
      </w:r>
    </w:p>
    <w:p w:rsidR="00803539" w:rsidRPr="00AB2499" w:rsidRDefault="00803539" w:rsidP="00803539">
      <w:pPr>
        <w:numPr>
          <w:ilvl w:val="0"/>
          <w:numId w:val="3"/>
        </w:numPr>
        <w:spacing w:before="100" w:beforeAutospacing="1" w:after="100" w:afterAutospacing="1" w:line="240" w:lineRule="auto"/>
        <w:rPr>
          <w:rFonts w:ascii="Arial" w:hAnsi="Arial" w:cs="Arial"/>
        </w:rPr>
      </w:pPr>
      <w:r w:rsidRPr="00AB2499">
        <w:rPr>
          <w:rFonts w:ascii="Arial" w:hAnsi="Arial" w:cs="Arial"/>
        </w:rPr>
        <w:t>im eingeschränkten Haltverbot / Zonenhaltverbot nach Zeichen 286/290 StVO</w:t>
      </w:r>
    </w:p>
    <w:p w:rsidR="00803539" w:rsidRPr="00AB2499" w:rsidRDefault="00803539" w:rsidP="00803539">
      <w:pPr>
        <w:numPr>
          <w:ilvl w:val="0"/>
          <w:numId w:val="3"/>
        </w:numPr>
        <w:spacing w:before="100" w:beforeAutospacing="1" w:after="100" w:afterAutospacing="1" w:line="240" w:lineRule="auto"/>
        <w:rPr>
          <w:rFonts w:ascii="Arial" w:hAnsi="Arial" w:cs="Arial"/>
        </w:rPr>
      </w:pPr>
      <w:r w:rsidRPr="00AB2499">
        <w:rPr>
          <w:rFonts w:ascii="Arial" w:hAnsi="Arial" w:cs="Arial"/>
        </w:rPr>
        <w:t>an Parkuhren und Parkscheinautomaten ohne Entrichtung von Gebühren und ohne Beachtung der Parkhöchstdauer (§ 13 Abs.1 StVO)</w:t>
      </w:r>
    </w:p>
    <w:p w:rsidR="00803539" w:rsidRPr="00AB2499" w:rsidRDefault="00803539" w:rsidP="00803539">
      <w:pPr>
        <w:numPr>
          <w:ilvl w:val="0"/>
          <w:numId w:val="3"/>
        </w:numPr>
        <w:spacing w:before="100" w:beforeAutospacing="1" w:after="100" w:afterAutospacing="1" w:line="240" w:lineRule="auto"/>
        <w:rPr>
          <w:rFonts w:ascii="Arial" w:hAnsi="Arial" w:cs="Arial"/>
        </w:rPr>
      </w:pPr>
      <w:r w:rsidRPr="00AB2499">
        <w:rPr>
          <w:rFonts w:ascii="Arial" w:hAnsi="Arial" w:cs="Arial"/>
        </w:rPr>
        <w:t>in verkehrsberuhigten Bereichen außerhalb der markierten Flächen, soweit dann ein Fahrzeug mit 2,55 m Breite noch passieren kann (Zeichen 325 StVO)</w:t>
      </w:r>
    </w:p>
    <w:p w:rsidR="00803539" w:rsidRPr="00AB2499" w:rsidRDefault="00803539" w:rsidP="00803539">
      <w:pPr>
        <w:numPr>
          <w:ilvl w:val="0"/>
          <w:numId w:val="3"/>
        </w:numPr>
        <w:spacing w:before="100" w:beforeAutospacing="1" w:after="100" w:afterAutospacing="1" w:line="240" w:lineRule="auto"/>
        <w:rPr>
          <w:rFonts w:ascii="Arial" w:hAnsi="Arial" w:cs="Arial"/>
        </w:rPr>
      </w:pPr>
      <w:r w:rsidRPr="00AB2499">
        <w:rPr>
          <w:rFonts w:ascii="Arial" w:hAnsi="Arial" w:cs="Arial"/>
        </w:rPr>
        <w:t>in Bereichen mit Parkscheibenpflicht ohne Auslegen der Parkscheibe und unter Überschreitung der Höchstparkdauer (§ 13 Abs.2 StVO)</w:t>
      </w:r>
    </w:p>
    <w:p w:rsidR="00803539" w:rsidRPr="00AB2499" w:rsidRDefault="00803539" w:rsidP="00803539">
      <w:pPr>
        <w:numPr>
          <w:ilvl w:val="0"/>
          <w:numId w:val="3"/>
        </w:numPr>
        <w:spacing w:before="100" w:beforeAutospacing="1" w:after="100" w:afterAutospacing="1" w:line="240" w:lineRule="auto"/>
        <w:rPr>
          <w:rFonts w:ascii="Arial" w:hAnsi="Arial" w:cs="Arial"/>
        </w:rPr>
      </w:pPr>
      <w:r w:rsidRPr="00AB2499">
        <w:rPr>
          <w:rFonts w:ascii="Arial" w:hAnsi="Arial" w:cs="Arial"/>
        </w:rPr>
        <w:t>auf Bewohnerparkplätzen (§ 45 Abs.1b StVO)</w:t>
      </w:r>
    </w:p>
    <w:p w:rsidR="00803539" w:rsidRPr="00AB2499" w:rsidRDefault="00803539" w:rsidP="00803539">
      <w:pPr>
        <w:pStyle w:val="StandardWeb"/>
        <w:rPr>
          <w:rFonts w:ascii="Arial" w:hAnsi="Arial" w:cs="Arial"/>
          <w:sz w:val="22"/>
          <w:szCs w:val="22"/>
        </w:rPr>
      </w:pPr>
      <w:r w:rsidRPr="00AB2499">
        <w:rPr>
          <w:rFonts w:ascii="Arial" w:hAnsi="Arial" w:cs="Arial"/>
          <w:sz w:val="22"/>
          <w:szCs w:val="22"/>
        </w:rPr>
        <w:t>Im absoluten Haltverbot, in Fußgängerzonen, auf Behindertenparkplätzen und Sperrflächen ist Parken nicht erlaubt! Er gilt nicht im Umkreis von 300 Metern um alle Betriebs- und Wohnsitze der Beschäftigten. Bei der Nutzung des regionalen Handwerkerparkausweises ist immer ein Original im Fahrzeug auszulegen. Dies ist ein einseitiges DIN A4-Blatt, welches eine Originalunterschrift und ein Dienstsiegel enthält. Farbige Karten o.ä. gelten nicht!</w:t>
      </w:r>
    </w:p>
    <w:p w:rsidR="00803539" w:rsidRPr="00AB2499" w:rsidRDefault="00803539" w:rsidP="00803539">
      <w:pPr>
        <w:spacing w:before="100" w:beforeAutospacing="1" w:after="100" w:afterAutospacing="1" w:line="240" w:lineRule="auto"/>
        <w:rPr>
          <w:rFonts w:ascii="Arial" w:hAnsi="Arial" w:cs="Arial"/>
        </w:rPr>
      </w:pPr>
    </w:p>
    <w:p w:rsidR="00C63584" w:rsidRPr="00AB2499" w:rsidRDefault="002F63EB" w:rsidP="00F45F80">
      <w:pPr>
        <w:spacing w:before="100" w:beforeAutospacing="1" w:after="100" w:afterAutospacing="1" w:line="240" w:lineRule="auto"/>
        <w:rPr>
          <w:rFonts w:ascii="Arial" w:eastAsia="Times New Roman" w:hAnsi="Arial" w:cs="Arial"/>
          <w:b/>
          <w:lang w:eastAsia="de-DE"/>
        </w:rPr>
      </w:pPr>
      <w:hyperlink r:id="rId6" w:history="1">
        <w:r w:rsidR="00C63584" w:rsidRPr="00AB2499">
          <w:rPr>
            <w:rFonts w:ascii="Arial" w:eastAsia="Times New Roman" w:hAnsi="Arial" w:cs="Arial"/>
            <w:b/>
            <w:u w:val="single"/>
            <w:lang w:eastAsia="de-DE"/>
          </w:rPr>
          <w:t>Ausnahmegenehmigung für das Parken als Handwerker beantragen</w:t>
        </w:r>
      </w:hyperlink>
    </w:p>
    <w:p w:rsidR="00C63584" w:rsidRPr="00AB2499" w:rsidRDefault="00C63584" w:rsidP="00C63584">
      <w:pPr>
        <w:spacing w:before="100" w:beforeAutospacing="1" w:after="100" w:afterAutospacing="1" w:line="240" w:lineRule="auto"/>
        <w:ind w:left="720"/>
        <w:rPr>
          <w:rFonts w:ascii="Arial" w:eastAsia="Times New Roman" w:hAnsi="Arial" w:cs="Arial"/>
          <w:lang w:eastAsia="de-DE"/>
        </w:rPr>
      </w:pPr>
      <w:r w:rsidRPr="00AB2499">
        <w:rPr>
          <w:rFonts w:ascii="Arial" w:eastAsia="Times New Roman" w:hAnsi="Arial" w:cs="Arial"/>
          <w:lang w:eastAsia="de-DE"/>
        </w:rPr>
        <w:t>Fahrzeuge eines Handwerksbetriebs oder eines Pflegedienstunternehmens können von der zuständigen Behörde eine Parkberechtigung erhalten. Diese kann beispielsweise zum kostenfreien Parken im eingeschränkten Halteverbot, in Bewohnerparkzonen oder in Parkraumbewirtschaftungszonen (Parkplätze mit Parkuhren oder Parkscheinautomaten) berechtigen. Die Ausnahmegenehmigung gilt nur für bestimmte Einzeltätigkeiten des Unternehmens.</w:t>
      </w:r>
    </w:p>
    <w:p w:rsidR="00C63584" w:rsidRPr="00AB2499" w:rsidRDefault="00C63584" w:rsidP="00C63584">
      <w:pPr>
        <w:spacing w:before="100" w:beforeAutospacing="1" w:after="100" w:afterAutospacing="1" w:line="240" w:lineRule="auto"/>
        <w:ind w:left="720"/>
        <w:rPr>
          <w:rFonts w:ascii="Arial" w:eastAsia="Times New Roman" w:hAnsi="Arial" w:cs="Arial"/>
          <w:lang w:eastAsia="de-DE"/>
        </w:rPr>
      </w:pPr>
      <w:r w:rsidRPr="00AB2499">
        <w:rPr>
          <w:rFonts w:ascii="Arial" w:eastAsia="Times New Roman" w:hAnsi="Arial" w:cs="Arial"/>
          <w:lang w:eastAsia="de-DE"/>
        </w:rPr>
        <w:t>Beachten Sie den genauen Inhalt der Ausnahmegenehmigung. Bei der Nutzung der Ausnahmegenehmigung dürfen vor allem andere Personen weder gefährdet noch behindert werden.</w:t>
      </w:r>
    </w:p>
    <w:p w:rsidR="00C63584" w:rsidRPr="00AB2499" w:rsidRDefault="00C63584" w:rsidP="00C63584">
      <w:pPr>
        <w:jc w:val="both"/>
        <w:rPr>
          <w:rFonts w:ascii="Arial" w:hAnsi="Arial" w:cs="Arial"/>
        </w:rPr>
      </w:pPr>
    </w:p>
    <w:p w:rsidR="00C63584" w:rsidRPr="00AB2499" w:rsidRDefault="00C63584" w:rsidP="00C63584">
      <w:pPr>
        <w:pStyle w:val="berschrift4"/>
        <w:rPr>
          <w:rFonts w:ascii="Arial" w:hAnsi="Arial" w:cs="Arial"/>
          <w:b/>
          <w:i w:val="0"/>
          <w:color w:val="auto"/>
          <w:u w:val="single"/>
        </w:rPr>
      </w:pPr>
      <w:r w:rsidRPr="00AB2499">
        <w:rPr>
          <w:rStyle w:val="Hervorhebung"/>
          <w:rFonts w:ascii="Arial" w:hAnsi="Arial" w:cs="Arial"/>
          <w:b/>
          <w:i/>
          <w:color w:val="auto"/>
          <w:u w:val="single"/>
        </w:rPr>
        <w:t>Antragstellung</w:t>
      </w:r>
    </w:p>
    <w:p w:rsidR="00C63584" w:rsidRPr="00AB2499" w:rsidRDefault="00C63584" w:rsidP="00C63584">
      <w:pPr>
        <w:pStyle w:val="StandardWeb"/>
        <w:rPr>
          <w:rFonts w:ascii="Arial" w:hAnsi="Arial" w:cs="Arial"/>
          <w:sz w:val="22"/>
          <w:szCs w:val="22"/>
        </w:rPr>
      </w:pPr>
      <w:r w:rsidRPr="00AB2499">
        <w:rPr>
          <w:rFonts w:ascii="Arial" w:hAnsi="Arial" w:cs="Arial"/>
          <w:sz w:val="22"/>
          <w:szCs w:val="22"/>
        </w:rPr>
        <w:t xml:space="preserve">Den Antrag für den regionalen Handwerkerparkausweis stellen Sie bitte bei der zuständigen Behörde an ihrem Hauptsitz bzw. Nebensitz im Geltungsbereich des regionalen </w:t>
      </w:r>
      <w:r w:rsidRPr="00AB2499">
        <w:rPr>
          <w:rFonts w:ascii="Arial" w:hAnsi="Arial" w:cs="Arial"/>
          <w:sz w:val="22"/>
          <w:szCs w:val="22"/>
        </w:rPr>
        <w:lastRenderedPageBreak/>
        <w:t>Handwerkerparkausweises.  Über die Ausstellung entscheidet allein die jeweils zuständige Behörde.</w:t>
      </w:r>
    </w:p>
    <w:p w:rsidR="00C63584" w:rsidRPr="00AB2499" w:rsidRDefault="00C63584" w:rsidP="00C63584">
      <w:pPr>
        <w:pStyle w:val="StandardWeb"/>
        <w:rPr>
          <w:rFonts w:ascii="Arial" w:hAnsi="Arial" w:cs="Arial"/>
          <w:sz w:val="22"/>
          <w:szCs w:val="22"/>
        </w:rPr>
      </w:pPr>
      <w:r w:rsidRPr="00AB2499">
        <w:rPr>
          <w:rFonts w:ascii="Arial" w:hAnsi="Arial" w:cs="Arial"/>
          <w:sz w:val="22"/>
          <w:szCs w:val="22"/>
        </w:rPr>
        <w:t>Für die Antragstellung sind folgende Unterlagen und Nachweise einzureichen.</w:t>
      </w:r>
    </w:p>
    <w:p w:rsidR="00C63584" w:rsidRPr="00AB2499" w:rsidRDefault="00C63584" w:rsidP="00C63584">
      <w:pPr>
        <w:numPr>
          <w:ilvl w:val="0"/>
          <w:numId w:val="4"/>
        </w:numPr>
        <w:spacing w:before="100" w:beforeAutospacing="1" w:after="100" w:afterAutospacing="1" w:line="240" w:lineRule="auto"/>
        <w:rPr>
          <w:rFonts w:ascii="Arial" w:hAnsi="Arial" w:cs="Arial"/>
        </w:rPr>
      </w:pPr>
      <w:r w:rsidRPr="00AB2499">
        <w:rPr>
          <w:rFonts w:ascii="Arial" w:hAnsi="Arial" w:cs="Arial"/>
        </w:rPr>
        <w:t>Antrag im Original</w:t>
      </w:r>
    </w:p>
    <w:p w:rsidR="00C63584" w:rsidRPr="00AB2499" w:rsidRDefault="00C63584" w:rsidP="00C63584">
      <w:pPr>
        <w:numPr>
          <w:ilvl w:val="0"/>
          <w:numId w:val="4"/>
        </w:numPr>
        <w:spacing w:before="100" w:beforeAutospacing="1" w:after="100" w:afterAutospacing="1" w:line="240" w:lineRule="auto"/>
        <w:rPr>
          <w:rFonts w:ascii="Arial" w:hAnsi="Arial" w:cs="Arial"/>
        </w:rPr>
      </w:pPr>
      <w:r w:rsidRPr="00AB2499">
        <w:rPr>
          <w:rStyle w:val="Fett"/>
          <w:rFonts w:ascii="Arial" w:hAnsi="Arial" w:cs="Arial"/>
        </w:rPr>
        <w:t xml:space="preserve">und </w:t>
      </w:r>
      <w:r w:rsidRPr="00AB2499">
        <w:rPr>
          <w:rFonts w:ascii="Arial" w:hAnsi="Arial" w:cs="Arial"/>
        </w:rPr>
        <w:t>Kopie der Gewerbeanmeldung oder Kopie des Bescheides zur Festsetzung der Umsatzsteuer des Finanzamtes</w:t>
      </w:r>
    </w:p>
    <w:p w:rsidR="00C63584" w:rsidRPr="00AB2499" w:rsidRDefault="00C63584" w:rsidP="00C63584">
      <w:pPr>
        <w:numPr>
          <w:ilvl w:val="0"/>
          <w:numId w:val="4"/>
        </w:numPr>
        <w:spacing w:before="100" w:beforeAutospacing="1" w:after="100" w:afterAutospacing="1" w:line="240" w:lineRule="auto"/>
        <w:rPr>
          <w:rFonts w:ascii="Arial" w:hAnsi="Arial" w:cs="Arial"/>
        </w:rPr>
      </w:pPr>
      <w:r w:rsidRPr="00AB2499">
        <w:rPr>
          <w:rStyle w:val="Fett"/>
          <w:rFonts w:ascii="Arial" w:hAnsi="Arial" w:cs="Arial"/>
        </w:rPr>
        <w:t>und</w:t>
      </w:r>
      <w:r w:rsidRPr="00AB2499">
        <w:rPr>
          <w:rFonts w:ascii="Arial" w:hAnsi="Arial" w:cs="Arial"/>
        </w:rPr>
        <w:t xml:space="preserve"> Kopie der Handwerkskarte </w:t>
      </w:r>
      <w:r w:rsidRPr="00AB2499">
        <w:rPr>
          <w:rStyle w:val="Fett"/>
          <w:rFonts w:ascii="Arial" w:hAnsi="Arial" w:cs="Arial"/>
        </w:rPr>
        <w:t>oder</w:t>
      </w:r>
      <w:r w:rsidRPr="00AB2499">
        <w:rPr>
          <w:rFonts w:ascii="Arial" w:hAnsi="Arial" w:cs="Arial"/>
        </w:rPr>
        <w:t xml:space="preserve"> Mitgliedsbescheinigung der Industrie </w:t>
      </w:r>
      <w:r w:rsidRPr="00AB2499">
        <w:rPr>
          <w:rStyle w:val="Fett"/>
          <w:rFonts w:ascii="Arial" w:hAnsi="Arial" w:cs="Arial"/>
        </w:rPr>
        <w:t>und</w:t>
      </w:r>
      <w:r w:rsidRPr="00AB2499">
        <w:rPr>
          <w:rFonts w:ascii="Arial" w:hAnsi="Arial" w:cs="Arial"/>
        </w:rPr>
        <w:t xml:space="preserve"> Handelskammer oder Erklärung, warum diese nicht vorliegt</w:t>
      </w:r>
    </w:p>
    <w:p w:rsidR="00C63584" w:rsidRPr="00AB2499" w:rsidRDefault="00C63584" w:rsidP="00C63584">
      <w:pPr>
        <w:numPr>
          <w:ilvl w:val="0"/>
          <w:numId w:val="4"/>
        </w:numPr>
        <w:spacing w:before="100" w:beforeAutospacing="1" w:after="100" w:afterAutospacing="1" w:line="240" w:lineRule="auto"/>
        <w:rPr>
          <w:rFonts w:ascii="Arial" w:hAnsi="Arial" w:cs="Arial"/>
        </w:rPr>
      </w:pPr>
      <w:r w:rsidRPr="00AB2499">
        <w:rPr>
          <w:rStyle w:val="Fett"/>
          <w:rFonts w:ascii="Arial" w:hAnsi="Arial" w:cs="Arial"/>
        </w:rPr>
        <w:t>und</w:t>
      </w:r>
      <w:r w:rsidRPr="00AB2499">
        <w:rPr>
          <w:rFonts w:ascii="Arial" w:hAnsi="Arial" w:cs="Arial"/>
        </w:rPr>
        <w:t xml:space="preserve"> Kopien der Kfz-Scheine der eingesetzten Geschäftsfahrzeuge</w:t>
      </w:r>
    </w:p>
    <w:p w:rsidR="00C63584" w:rsidRPr="00AB2499" w:rsidRDefault="00C63584" w:rsidP="00C63584">
      <w:pPr>
        <w:numPr>
          <w:ilvl w:val="0"/>
          <w:numId w:val="4"/>
        </w:numPr>
        <w:spacing w:before="100" w:beforeAutospacing="1" w:after="100" w:afterAutospacing="1" w:line="240" w:lineRule="auto"/>
        <w:rPr>
          <w:rFonts w:ascii="Arial" w:hAnsi="Arial" w:cs="Arial"/>
        </w:rPr>
      </w:pPr>
      <w:r w:rsidRPr="00AB2499">
        <w:rPr>
          <w:rStyle w:val="Fett"/>
          <w:rFonts w:ascii="Arial" w:hAnsi="Arial" w:cs="Arial"/>
        </w:rPr>
        <w:t>und</w:t>
      </w:r>
      <w:r w:rsidRPr="00AB2499">
        <w:rPr>
          <w:rFonts w:ascii="Arial" w:hAnsi="Arial" w:cs="Arial"/>
        </w:rPr>
        <w:t xml:space="preserve"> Fotos der Geschäftsfahrzeuge für die der Handw</w:t>
      </w:r>
      <w:r w:rsidR="002F63EB">
        <w:rPr>
          <w:rFonts w:ascii="Arial" w:hAnsi="Arial" w:cs="Arial"/>
        </w:rPr>
        <w:t>erkerparkausweis beantragt wird (siehe Fahrzeuganforderung)</w:t>
      </w:r>
      <w:bookmarkStart w:id="0" w:name="_GoBack"/>
      <w:bookmarkEnd w:id="0"/>
    </w:p>
    <w:p w:rsidR="00C63584" w:rsidRDefault="00C63584" w:rsidP="00C63584">
      <w:pPr>
        <w:jc w:val="both"/>
        <w:rPr>
          <w:rFonts w:ascii="Arial" w:hAnsi="Arial" w:cs="Arial"/>
        </w:rPr>
      </w:pPr>
    </w:p>
    <w:p w:rsidR="00F7622B" w:rsidRPr="00AB2499" w:rsidRDefault="00F7622B" w:rsidP="00F7622B">
      <w:pPr>
        <w:pStyle w:val="berschrift4"/>
        <w:rPr>
          <w:rFonts w:ascii="Arial" w:hAnsi="Arial" w:cs="Arial"/>
          <w:b/>
          <w:i w:val="0"/>
          <w:color w:val="auto"/>
          <w:u w:val="single"/>
        </w:rPr>
      </w:pPr>
      <w:r>
        <w:rPr>
          <w:rStyle w:val="Hervorhebung"/>
          <w:rFonts w:ascii="Arial" w:hAnsi="Arial" w:cs="Arial"/>
          <w:b/>
          <w:i/>
          <w:color w:val="auto"/>
          <w:u w:val="single"/>
        </w:rPr>
        <w:t>Fahrzeuganforderung</w:t>
      </w:r>
    </w:p>
    <w:p w:rsidR="00F7622B" w:rsidRPr="00AB2499" w:rsidRDefault="00F7622B" w:rsidP="00F7622B">
      <w:pPr>
        <w:pStyle w:val="StandardWeb"/>
        <w:rPr>
          <w:rFonts w:ascii="Arial" w:hAnsi="Arial" w:cs="Arial"/>
          <w:sz w:val="22"/>
          <w:szCs w:val="22"/>
        </w:rPr>
      </w:pPr>
      <w:r>
        <w:rPr>
          <w:rFonts w:ascii="Arial" w:hAnsi="Arial" w:cs="Arial"/>
          <w:sz w:val="22"/>
          <w:szCs w:val="22"/>
        </w:rPr>
        <w:t>Geschäftsfahrzeuge, die mindestens beidseitig ein großflächiges, mit dem Fahrzeug fest verbundenes Branding (Werbung, Marke, Logo) aufweisen, das die Art des Handwerks / der Dienstleistung nach Ziffer 2 eindeutig bezeichnet sowie die Adresse, die Telefonnummer und/oder die E-Mail-Adresse (oder dgl.) des Betriebes beinhalten (…).</w:t>
      </w:r>
    </w:p>
    <w:p w:rsidR="00F7622B" w:rsidRPr="00AB2499" w:rsidRDefault="00F7622B" w:rsidP="00C63584">
      <w:pPr>
        <w:jc w:val="both"/>
        <w:rPr>
          <w:rFonts w:ascii="Arial" w:hAnsi="Arial" w:cs="Arial"/>
        </w:rPr>
      </w:pPr>
    </w:p>
    <w:p w:rsidR="00C63584" w:rsidRPr="00AB2499" w:rsidRDefault="00C63584" w:rsidP="00C63584">
      <w:pPr>
        <w:pStyle w:val="berschrift4"/>
        <w:rPr>
          <w:rFonts w:ascii="Arial" w:hAnsi="Arial" w:cs="Arial"/>
          <w:b/>
          <w:i w:val="0"/>
          <w:color w:val="auto"/>
          <w:u w:val="single"/>
        </w:rPr>
      </w:pPr>
      <w:r w:rsidRPr="00AB2499">
        <w:rPr>
          <w:rStyle w:val="Hervorhebung"/>
          <w:rFonts w:ascii="Arial" w:hAnsi="Arial" w:cs="Arial"/>
          <w:b/>
          <w:i/>
          <w:color w:val="auto"/>
          <w:u w:val="single"/>
        </w:rPr>
        <w:t>Verwaltungsgebühren</w:t>
      </w:r>
    </w:p>
    <w:p w:rsidR="00C63584" w:rsidRPr="00AB2499" w:rsidRDefault="00C63584" w:rsidP="00C63584">
      <w:pPr>
        <w:pStyle w:val="StandardWeb"/>
        <w:rPr>
          <w:rFonts w:ascii="Arial" w:hAnsi="Arial" w:cs="Arial"/>
          <w:sz w:val="22"/>
          <w:szCs w:val="22"/>
        </w:rPr>
      </w:pPr>
      <w:r w:rsidRPr="00AB2499">
        <w:rPr>
          <w:rFonts w:ascii="Arial" w:hAnsi="Arial" w:cs="Arial"/>
          <w:sz w:val="22"/>
          <w:szCs w:val="22"/>
        </w:rPr>
        <w:t>Die Verwaltungsgebühr (jeweils inklusive Auslagen) für die erste Genehmigung beträgt 305 €. In eine Genehmigung können bis zu sechs Kennzeichen aufgenommen werden. Parken ist nur mit der Originalgenehmigung im Fahrzeug erlaubt. Das Original kann jedoch mehrfach ausgestellt werden. Zeitgleich beantragte, weitere Originale kosten jeweils 161 €. Die Verwaltungsgebühr für eine Änderung einer Ausnahmegenehmigung beträgt 25 €.</w:t>
      </w:r>
    </w:p>
    <w:p w:rsidR="00C63584" w:rsidRPr="00AB2499" w:rsidRDefault="00C63584" w:rsidP="00C63584">
      <w:pPr>
        <w:jc w:val="both"/>
        <w:rPr>
          <w:rFonts w:ascii="Arial" w:hAnsi="Arial" w:cs="Arial"/>
        </w:rPr>
      </w:pPr>
    </w:p>
    <w:sectPr w:rsidR="00C63584" w:rsidRPr="00AB2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738"/>
    <w:multiLevelType w:val="multilevel"/>
    <w:tmpl w:val="EAFA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27B01"/>
    <w:multiLevelType w:val="multilevel"/>
    <w:tmpl w:val="38A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E1CDA"/>
    <w:multiLevelType w:val="multilevel"/>
    <w:tmpl w:val="0A22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17D76"/>
    <w:multiLevelType w:val="multilevel"/>
    <w:tmpl w:val="F78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54D23"/>
    <w:multiLevelType w:val="multilevel"/>
    <w:tmpl w:val="FD4C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84"/>
    <w:rsid w:val="00053D13"/>
    <w:rsid w:val="0023213B"/>
    <w:rsid w:val="002F63EB"/>
    <w:rsid w:val="00803539"/>
    <w:rsid w:val="00AB2499"/>
    <w:rsid w:val="00C63584"/>
    <w:rsid w:val="00C7364B"/>
    <w:rsid w:val="00F45F80"/>
    <w:rsid w:val="00F7622B"/>
    <w:rsid w:val="00FF5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C801"/>
  <w15:chartTrackingRefBased/>
  <w15:docId w15:val="{74223B07-C586-455C-93E3-A1DBE169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6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63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C635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358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63584"/>
    <w:rPr>
      <w:color w:val="0000FF"/>
      <w:u w:val="single"/>
    </w:rPr>
  </w:style>
  <w:style w:type="paragraph" w:styleId="StandardWeb">
    <w:name w:val="Normal (Web)"/>
    <w:basedOn w:val="Standard"/>
    <w:uiPriority w:val="99"/>
    <w:semiHidden/>
    <w:unhideWhenUsed/>
    <w:rsid w:val="00C635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C63584"/>
    <w:rPr>
      <w:rFonts w:asciiTheme="majorHAnsi" w:eastAsiaTheme="majorEastAsia" w:hAnsiTheme="majorHAnsi" w:cstheme="majorBidi"/>
      <w:color w:val="2E74B5" w:themeColor="accent1" w:themeShade="BF"/>
      <w:sz w:val="26"/>
      <w:szCs w:val="26"/>
    </w:rPr>
  </w:style>
  <w:style w:type="character" w:customStyle="1" w:styleId="berschrift4Zchn">
    <w:name w:val="Überschrift 4 Zchn"/>
    <w:basedOn w:val="Absatz-Standardschriftart"/>
    <w:link w:val="berschrift4"/>
    <w:uiPriority w:val="9"/>
    <w:semiHidden/>
    <w:rsid w:val="00C63584"/>
    <w:rPr>
      <w:rFonts w:asciiTheme="majorHAnsi" w:eastAsiaTheme="majorEastAsia" w:hAnsiTheme="majorHAnsi" w:cstheme="majorBidi"/>
      <w:i/>
      <w:iCs/>
      <w:color w:val="2E74B5" w:themeColor="accent1" w:themeShade="BF"/>
    </w:rPr>
  </w:style>
  <w:style w:type="character" w:styleId="Hervorhebung">
    <w:name w:val="Emphasis"/>
    <w:basedOn w:val="Absatz-Standardschriftart"/>
    <w:uiPriority w:val="20"/>
    <w:qFormat/>
    <w:rsid w:val="00C63584"/>
    <w:rPr>
      <w:i/>
      <w:iCs/>
    </w:rPr>
  </w:style>
  <w:style w:type="character" w:styleId="Fett">
    <w:name w:val="Strong"/>
    <w:basedOn w:val="Absatz-Standardschriftart"/>
    <w:uiPriority w:val="22"/>
    <w:qFormat/>
    <w:rsid w:val="00C63584"/>
    <w:rPr>
      <w:b/>
      <w:bCs/>
    </w:rPr>
  </w:style>
  <w:style w:type="paragraph" w:styleId="Sprechblasentext">
    <w:name w:val="Balloon Text"/>
    <w:basedOn w:val="Standard"/>
    <w:link w:val="SprechblasentextZchn"/>
    <w:uiPriority w:val="99"/>
    <w:semiHidden/>
    <w:unhideWhenUsed/>
    <w:rsid w:val="00AB24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638">
      <w:bodyDiv w:val="1"/>
      <w:marLeft w:val="0"/>
      <w:marRight w:val="0"/>
      <w:marTop w:val="0"/>
      <w:marBottom w:val="0"/>
      <w:divBdr>
        <w:top w:val="none" w:sz="0" w:space="0" w:color="auto"/>
        <w:left w:val="none" w:sz="0" w:space="0" w:color="auto"/>
        <w:bottom w:val="none" w:sz="0" w:space="0" w:color="auto"/>
        <w:right w:val="none" w:sz="0" w:space="0" w:color="auto"/>
      </w:divBdr>
    </w:div>
    <w:div w:id="621115747">
      <w:bodyDiv w:val="1"/>
      <w:marLeft w:val="0"/>
      <w:marRight w:val="0"/>
      <w:marTop w:val="0"/>
      <w:marBottom w:val="0"/>
      <w:divBdr>
        <w:top w:val="none" w:sz="0" w:space="0" w:color="auto"/>
        <w:left w:val="none" w:sz="0" w:space="0" w:color="auto"/>
        <w:bottom w:val="none" w:sz="0" w:space="0" w:color="auto"/>
        <w:right w:val="none" w:sz="0" w:space="0" w:color="auto"/>
      </w:divBdr>
    </w:div>
    <w:div w:id="754402759">
      <w:bodyDiv w:val="1"/>
      <w:marLeft w:val="0"/>
      <w:marRight w:val="0"/>
      <w:marTop w:val="0"/>
      <w:marBottom w:val="0"/>
      <w:divBdr>
        <w:top w:val="none" w:sz="0" w:space="0" w:color="auto"/>
        <w:left w:val="none" w:sz="0" w:space="0" w:color="auto"/>
        <w:bottom w:val="none" w:sz="0" w:space="0" w:color="auto"/>
        <w:right w:val="none" w:sz="0" w:space="0" w:color="auto"/>
      </w:divBdr>
    </w:div>
    <w:div w:id="1339430323">
      <w:bodyDiv w:val="1"/>
      <w:marLeft w:val="0"/>
      <w:marRight w:val="0"/>
      <w:marTop w:val="0"/>
      <w:marBottom w:val="0"/>
      <w:divBdr>
        <w:top w:val="none" w:sz="0" w:space="0" w:color="auto"/>
        <w:left w:val="none" w:sz="0" w:space="0" w:color="auto"/>
        <w:bottom w:val="none" w:sz="0" w:space="0" w:color="auto"/>
        <w:right w:val="none" w:sz="0" w:space="0" w:color="auto"/>
      </w:divBdr>
    </w:div>
    <w:div w:id="1343556940">
      <w:bodyDiv w:val="1"/>
      <w:marLeft w:val="0"/>
      <w:marRight w:val="0"/>
      <w:marTop w:val="0"/>
      <w:marBottom w:val="0"/>
      <w:divBdr>
        <w:top w:val="none" w:sz="0" w:space="0" w:color="auto"/>
        <w:left w:val="none" w:sz="0" w:space="0" w:color="auto"/>
        <w:bottom w:val="none" w:sz="0" w:space="0" w:color="auto"/>
        <w:right w:val="none" w:sz="0" w:space="0" w:color="auto"/>
      </w:divBdr>
    </w:div>
    <w:div w:id="1725987460">
      <w:bodyDiv w:val="1"/>
      <w:marLeft w:val="0"/>
      <w:marRight w:val="0"/>
      <w:marTop w:val="0"/>
      <w:marBottom w:val="0"/>
      <w:divBdr>
        <w:top w:val="none" w:sz="0" w:space="0" w:color="auto"/>
        <w:left w:val="none" w:sz="0" w:space="0" w:color="auto"/>
        <w:bottom w:val="none" w:sz="0" w:space="0" w:color="auto"/>
        <w:right w:val="none" w:sz="0" w:space="0" w:color="auto"/>
      </w:divBdr>
      <w:divsChild>
        <w:div w:id="827596301">
          <w:marLeft w:val="0"/>
          <w:marRight w:val="0"/>
          <w:marTop w:val="0"/>
          <w:marBottom w:val="0"/>
          <w:divBdr>
            <w:top w:val="none" w:sz="0" w:space="0" w:color="auto"/>
            <w:left w:val="none" w:sz="0" w:space="0" w:color="auto"/>
            <w:bottom w:val="none" w:sz="0" w:space="0" w:color="auto"/>
            <w:right w:val="none" w:sz="0" w:space="0" w:color="auto"/>
          </w:divBdr>
        </w:div>
      </w:divsChild>
    </w:div>
    <w:div w:id="1911386096">
      <w:bodyDiv w:val="1"/>
      <w:marLeft w:val="0"/>
      <w:marRight w:val="0"/>
      <w:marTop w:val="0"/>
      <w:marBottom w:val="0"/>
      <w:divBdr>
        <w:top w:val="none" w:sz="0" w:space="0" w:color="auto"/>
        <w:left w:val="none" w:sz="0" w:space="0" w:color="auto"/>
        <w:bottom w:val="none" w:sz="0" w:space="0" w:color="auto"/>
        <w:right w:val="none" w:sz="0" w:space="0" w:color="auto"/>
      </w:divBdr>
      <w:divsChild>
        <w:div w:id="1877887001">
          <w:marLeft w:val="0"/>
          <w:marRight w:val="0"/>
          <w:marTop w:val="0"/>
          <w:marBottom w:val="0"/>
          <w:divBdr>
            <w:top w:val="none" w:sz="0" w:space="0" w:color="auto"/>
            <w:left w:val="none" w:sz="0" w:space="0" w:color="auto"/>
            <w:bottom w:val="none" w:sz="0" w:space="0" w:color="auto"/>
            <w:right w:val="none" w:sz="0" w:space="0" w:color="auto"/>
          </w:divBdr>
          <w:divsChild>
            <w:div w:id="1445004121">
              <w:marLeft w:val="0"/>
              <w:marRight w:val="0"/>
              <w:marTop w:val="0"/>
              <w:marBottom w:val="0"/>
              <w:divBdr>
                <w:top w:val="none" w:sz="0" w:space="0" w:color="auto"/>
                <w:left w:val="none" w:sz="0" w:space="0" w:color="auto"/>
                <w:bottom w:val="none" w:sz="0" w:space="0" w:color="auto"/>
                <w:right w:val="none" w:sz="0" w:space="0" w:color="auto"/>
              </w:divBdr>
              <w:divsChild>
                <w:div w:id="1540818366">
                  <w:marLeft w:val="0"/>
                  <w:marRight w:val="0"/>
                  <w:marTop w:val="0"/>
                  <w:marBottom w:val="0"/>
                  <w:divBdr>
                    <w:top w:val="none" w:sz="0" w:space="0" w:color="auto"/>
                    <w:left w:val="none" w:sz="0" w:space="0" w:color="auto"/>
                    <w:bottom w:val="none" w:sz="0" w:space="0" w:color="auto"/>
                    <w:right w:val="none" w:sz="0" w:space="0" w:color="auto"/>
                  </w:divBdr>
                  <w:divsChild>
                    <w:div w:id="358509765">
                      <w:marLeft w:val="0"/>
                      <w:marRight w:val="0"/>
                      <w:marTop w:val="0"/>
                      <w:marBottom w:val="0"/>
                      <w:divBdr>
                        <w:top w:val="none" w:sz="0" w:space="0" w:color="auto"/>
                        <w:left w:val="none" w:sz="0" w:space="0" w:color="auto"/>
                        <w:bottom w:val="none" w:sz="0" w:space="0" w:color="auto"/>
                        <w:right w:val="none" w:sz="0" w:space="0" w:color="auto"/>
                      </w:divBdr>
                      <w:divsChild>
                        <w:div w:id="879560388">
                          <w:marLeft w:val="0"/>
                          <w:marRight w:val="0"/>
                          <w:marTop w:val="0"/>
                          <w:marBottom w:val="0"/>
                          <w:divBdr>
                            <w:top w:val="none" w:sz="0" w:space="0" w:color="auto"/>
                            <w:left w:val="none" w:sz="0" w:space="0" w:color="auto"/>
                            <w:bottom w:val="none" w:sz="0" w:space="0" w:color="auto"/>
                            <w:right w:val="none" w:sz="0" w:space="0" w:color="auto"/>
                          </w:divBdr>
                          <w:divsChild>
                            <w:div w:id="4497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sengericht.de/buergerservice/leistungen/HES:entry:8964432:064350018018/ausnahmegenehmigung-fuer-das-parken-als-handwerker-beantra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8DA5-90FC-4894-8466-3D88102C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Steets, Korinna</dc:creator>
  <cp:keywords/>
  <dc:description/>
  <cp:lastModifiedBy>Steets, Korinna</cp:lastModifiedBy>
  <cp:revision>6</cp:revision>
  <cp:lastPrinted>2022-10-12T08:05:00Z</cp:lastPrinted>
  <dcterms:created xsi:type="dcterms:W3CDTF">2022-10-05T08:50:00Z</dcterms:created>
  <dcterms:modified xsi:type="dcterms:W3CDTF">2022-10-12T08:05:00Z</dcterms:modified>
</cp:coreProperties>
</file>